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BCB14" w14:textId="647E8571" w:rsidR="00B26615" w:rsidRDefault="00B26615">
      <w:r>
        <w:t xml:space="preserve">Once the state budget has been signed by the Governor, Head Start programs will receive a Letter of Intent to Award from DEED before the grants are uploaded into GMS. </w:t>
      </w:r>
    </w:p>
    <w:p w14:paraId="725DD151" w14:textId="268416C4" w:rsidR="00E8668C" w:rsidRDefault="00E8668C">
      <w:r>
        <w:t xml:space="preserve">When the grants are loaded into GMS, programs will update their budget narratives for approval by their own internal fiscal representative and then authorized representative. Then, it must be approved by DEED’s Program Manager and DEED’s Program Administrator. </w:t>
      </w:r>
    </w:p>
    <w:tbl>
      <w:tblPr>
        <w:tblStyle w:val="TableGrid"/>
        <w:tblW w:w="9990" w:type="dxa"/>
        <w:tblInd w:w="-5" w:type="dxa"/>
        <w:tblLook w:val="04A0" w:firstRow="1" w:lastRow="0" w:firstColumn="1" w:lastColumn="0" w:noHBand="0" w:noVBand="1"/>
      </w:tblPr>
      <w:tblGrid>
        <w:gridCol w:w="3510"/>
        <w:gridCol w:w="2970"/>
        <w:gridCol w:w="3510"/>
      </w:tblGrid>
      <w:tr w:rsidR="00700655" w14:paraId="3190DD47" w14:textId="77777777" w:rsidTr="00E8668C">
        <w:tc>
          <w:tcPr>
            <w:tcW w:w="3510" w:type="dxa"/>
          </w:tcPr>
          <w:p w14:paraId="3AD3629E" w14:textId="3227A4E1" w:rsidR="00700655" w:rsidRDefault="00700655"/>
        </w:tc>
        <w:tc>
          <w:tcPr>
            <w:tcW w:w="2970" w:type="dxa"/>
          </w:tcPr>
          <w:p w14:paraId="5A7B2D3A" w14:textId="4A362841" w:rsidR="00700655" w:rsidRPr="00700655" w:rsidRDefault="00700655">
            <w:pPr>
              <w:rPr>
                <w:b/>
                <w:bCs/>
                <w:u w:val="single"/>
              </w:rPr>
            </w:pPr>
            <w:r w:rsidRPr="00700655">
              <w:rPr>
                <w:b/>
                <w:bCs/>
                <w:u w:val="single"/>
              </w:rPr>
              <w:t>Time Frame</w:t>
            </w:r>
          </w:p>
        </w:tc>
        <w:tc>
          <w:tcPr>
            <w:tcW w:w="3510" w:type="dxa"/>
          </w:tcPr>
          <w:p w14:paraId="4282DE24" w14:textId="43B4EBDB" w:rsidR="00700655" w:rsidRPr="00700655" w:rsidRDefault="00700655">
            <w:pPr>
              <w:rPr>
                <w:b/>
                <w:bCs/>
                <w:i/>
                <w:iCs/>
                <w:u w:val="single"/>
              </w:rPr>
            </w:pPr>
            <w:r w:rsidRPr="00700655">
              <w:rPr>
                <w:b/>
                <w:bCs/>
                <w:u w:val="single"/>
              </w:rPr>
              <w:t xml:space="preserve">Due Date </w:t>
            </w:r>
            <w:r w:rsidRPr="00700655">
              <w:rPr>
                <w:b/>
                <w:bCs/>
                <w:i/>
                <w:iCs/>
                <w:u w:val="single"/>
              </w:rPr>
              <w:t>(On or before)</w:t>
            </w:r>
          </w:p>
        </w:tc>
      </w:tr>
      <w:tr w:rsidR="00700655" w14:paraId="5A83EFEA" w14:textId="77777777" w:rsidTr="00E8668C">
        <w:tc>
          <w:tcPr>
            <w:tcW w:w="3510" w:type="dxa"/>
          </w:tcPr>
          <w:p w14:paraId="1D85AA3D" w14:textId="6701B3FC" w:rsidR="00700655" w:rsidRDefault="00700655">
            <w:r>
              <w:t>Initial Application</w:t>
            </w:r>
          </w:p>
        </w:tc>
        <w:tc>
          <w:tcPr>
            <w:tcW w:w="2970" w:type="dxa"/>
          </w:tcPr>
          <w:p w14:paraId="2BE0978A" w14:textId="77BD327A" w:rsidR="00700655" w:rsidRPr="00E8668C" w:rsidRDefault="00E8668C">
            <w:pPr>
              <w:rPr>
                <w:sz w:val="22"/>
                <w:szCs w:val="22"/>
              </w:rPr>
            </w:pPr>
            <w:r w:rsidRPr="00E8668C">
              <w:rPr>
                <w:sz w:val="22"/>
                <w:szCs w:val="22"/>
              </w:rPr>
              <w:t>Before First Reimbursement</w:t>
            </w:r>
          </w:p>
        </w:tc>
        <w:tc>
          <w:tcPr>
            <w:tcW w:w="3510" w:type="dxa"/>
          </w:tcPr>
          <w:p w14:paraId="62225782" w14:textId="3C9711AB" w:rsidR="00700655" w:rsidRPr="00E8668C" w:rsidRDefault="00700655">
            <w:pPr>
              <w:rPr>
                <w:sz w:val="22"/>
                <w:szCs w:val="22"/>
              </w:rPr>
            </w:pPr>
            <w:r w:rsidRPr="00E8668C">
              <w:rPr>
                <w:sz w:val="22"/>
                <w:szCs w:val="22"/>
              </w:rPr>
              <w:t>Before First Reimbursement</w:t>
            </w:r>
          </w:p>
        </w:tc>
      </w:tr>
      <w:tr w:rsidR="00700655" w14:paraId="310074D7" w14:textId="77777777" w:rsidTr="00E8668C">
        <w:tc>
          <w:tcPr>
            <w:tcW w:w="3510" w:type="dxa"/>
          </w:tcPr>
          <w:p w14:paraId="1297CE1C" w14:textId="6C0848B5" w:rsidR="00700655" w:rsidRDefault="00700655">
            <w:r>
              <w:t>First Quarter</w:t>
            </w:r>
          </w:p>
        </w:tc>
        <w:tc>
          <w:tcPr>
            <w:tcW w:w="2970" w:type="dxa"/>
          </w:tcPr>
          <w:p w14:paraId="64CAC370" w14:textId="067AA91E" w:rsidR="00700655" w:rsidRDefault="00700655">
            <w:r>
              <w:t>July 1- September 30</w:t>
            </w:r>
            <w:r w:rsidRPr="00700655">
              <w:rPr>
                <w:vertAlign w:val="superscript"/>
              </w:rPr>
              <w:t>th</w:t>
            </w:r>
          </w:p>
        </w:tc>
        <w:tc>
          <w:tcPr>
            <w:tcW w:w="3510" w:type="dxa"/>
          </w:tcPr>
          <w:p w14:paraId="51B89387" w14:textId="66F2F963" w:rsidR="00700655" w:rsidRDefault="00700655">
            <w:r>
              <w:t>October 30</w:t>
            </w:r>
            <w:r w:rsidRPr="00700655">
              <w:rPr>
                <w:vertAlign w:val="superscript"/>
              </w:rPr>
              <w:t>th</w:t>
            </w:r>
            <w:r>
              <w:t xml:space="preserve"> </w:t>
            </w:r>
          </w:p>
        </w:tc>
      </w:tr>
      <w:tr w:rsidR="00700655" w14:paraId="01C52B65" w14:textId="77777777" w:rsidTr="00E8668C">
        <w:tc>
          <w:tcPr>
            <w:tcW w:w="3510" w:type="dxa"/>
          </w:tcPr>
          <w:p w14:paraId="798F2AED" w14:textId="197CB840" w:rsidR="00700655" w:rsidRDefault="00700655">
            <w:r>
              <w:t>Second Quarter</w:t>
            </w:r>
          </w:p>
        </w:tc>
        <w:tc>
          <w:tcPr>
            <w:tcW w:w="2970" w:type="dxa"/>
          </w:tcPr>
          <w:p w14:paraId="046EC99A" w14:textId="43DC2D20" w:rsidR="00700655" w:rsidRDefault="00700655">
            <w:r>
              <w:t>October 1- December 31</w:t>
            </w:r>
            <w:r w:rsidRPr="00700655">
              <w:rPr>
                <w:vertAlign w:val="superscript"/>
              </w:rPr>
              <w:t>st</w:t>
            </w:r>
          </w:p>
        </w:tc>
        <w:tc>
          <w:tcPr>
            <w:tcW w:w="3510" w:type="dxa"/>
          </w:tcPr>
          <w:p w14:paraId="2938C408" w14:textId="1130539F" w:rsidR="00700655" w:rsidRDefault="00700655">
            <w:r>
              <w:t>January 30</w:t>
            </w:r>
            <w:r w:rsidRPr="00700655">
              <w:rPr>
                <w:vertAlign w:val="superscript"/>
              </w:rPr>
              <w:t>th</w:t>
            </w:r>
            <w:r>
              <w:t xml:space="preserve"> </w:t>
            </w:r>
          </w:p>
        </w:tc>
      </w:tr>
      <w:tr w:rsidR="00700655" w14:paraId="712D5BCA" w14:textId="77777777" w:rsidTr="00E8668C">
        <w:tc>
          <w:tcPr>
            <w:tcW w:w="3510" w:type="dxa"/>
          </w:tcPr>
          <w:p w14:paraId="041E75EC" w14:textId="70ACFCF1" w:rsidR="00700655" w:rsidRDefault="00700655">
            <w:r>
              <w:t>Third Quarter</w:t>
            </w:r>
          </w:p>
        </w:tc>
        <w:tc>
          <w:tcPr>
            <w:tcW w:w="2970" w:type="dxa"/>
          </w:tcPr>
          <w:p w14:paraId="1F9E8301" w14:textId="012E0AB8" w:rsidR="00700655" w:rsidRDefault="00700655">
            <w:r>
              <w:t>January 1</w:t>
            </w:r>
            <w:r w:rsidRPr="00700655">
              <w:rPr>
                <w:vertAlign w:val="superscript"/>
              </w:rPr>
              <w:t>st</w:t>
            </w:r>
            <w:r>
              <w:t>- March 31</w:t>
            </w:r>
            <w:r w:rsidRPr="00700655">
              <w:rPr>
                <w:vertAlign w:val="superscript"/>
              </w:rPr>
              <w:t>st</w:t>
            </w:r>
            <w:r>
              <w:t xml:space="preserve"> </w:t>
            </w:r>
          </w:p>
        </w:tc>
        <w:tc>
          <w:tcPr>
            <w:tcW w:w="3510" w:type="dxa"/>
          </w:tcPr>
          <w:p w14:paraId="1F14848A" w14:textId="3C5723FD" w:rsidR="00700655" w:rsidRDefault="00700655">
            <w:r>
              <w:t>April 30</w:t>
            </w:r>
            <w:r w:rsidRPr="00700655">
              <w:rPr>
                <w:vertAlign w:val="superscript"/>
              </w:rPr>
              <w:t>th</w:t>
            </w:r>
            <w:r>
              <w:t xml:space="preserve"> </w:t>
            </w:r>
          </w:p>
        </w:tc>
      </w:tr>
      <w:tr w:rsidR="00700655" w14:paraId="2D8ADDB5" w14:textId="77777777" w:rsidTr="00E8668C">
        <w:tc>
          <w:tcPr>
            <w:tcW w:w="3510" w:type="dxa"/>
          </w:tcPr>
          <w:p w14:paraId="742738AC" w14:textId="35D30F74" w:rsidR="00700655" w:rsidRDefault="00700655">
            <w:r>
              <w:t>Fourth Quarter</w:t>
            </w:r>
          </w:p>
        </w:tc>
        <w:tc>
          <w:tcPr>
            <w:tcW w:w="2970" w:type="dxa"/>
          </w:tcPr>
          <w:p w14:paraId="1FB61074" w14:textId="184B7A24" w:rsidR="00700655" w:rsidRDefault="00700655">
            <w:r>
              <w:t>April 1</w:t>
            </w:r>
            <w:r w:rsidRPr="00700655">
              <w:rPr>
                <w:vertAlign w:val="superscript"/>
              </w:rPr>
              <w:t>st</w:t>
            </w:r>
            <w:r>
              <w:rPr>
                <w:vertAlign w:val="superscript"/>
              </w:rPr>
              <w:t xml:space="preserve">- </w:t>
            </w:r>
            <w:r>
              <w:t>June 30</w:t>
            </w:r>
            <w:r w:rsidRPr="00700655">
              <w:rPr>
                <w:vertAlign w:val="superscript"/>
              </w:rPr>
              <w:t>th</w:t>
            </w:r>
          </w:p>
        </w:tc>
        <w:tc>
          <w:tcPr>
            <w:tcW w:w="3510" w:type="dxa"/>
          </w:tcPr>
          <w:p w14:paraId="26A1F042" w14:textId="4CD10474" w:rsidR="00700655" w:rsidRDefault="00700655">
            <w:r>
              <w:t>July 30</w:t>
            </w:r>
            <w:r w:rsidRPr="00700655">
              <w:rPr>
                <w:vertAlign w:val="superscript"/>
              </w:rPr>
              <w:t>th</w:t>
            </w:r>
            <w:r>
              <w:t xml:space="preserve"> </w:t>
            </w:r>
          </w:p>
        </w:tc>
      </w:tr>
      <w:tr w:rsidR="00700655" w14:paraId="123B971A" w14:textId="77777777" w:rsidTr="00E8668C">
        <w:tc>
          <w:tcPr>
            <w:tcW w:w="3510" w:type="dxa"/>
          </w:tcPr>
          <w:p w14:paraId="1EF2A974" w14:textId="124A5464" w:rsidR="00700655" w:rsidRDefault="00700655">
            <w:r>
              <w:t>Final Expenditure Report (FER)</w:t>
            </w:r>
          </w:p>
        </w:tc>
        <w:tc>
          <w:tcPr>
            <w:tcW w:w="2970" w:type="dxa"/>
          </w:tcPr>
          <w:p w14:paraId="5E5B948A" w14:textId="77777777" w:rsidR="00700655" w:rsidRDefault="00700655"/>
        </w:tc>
        <w:tc>
          <w:tcPr>
            <w:tcW w:w="3510" w:type="dxa"/>
          </w:tcPr>
          <w:p w14:paraId="7A5E6452" w14:textId="3EB34D67" w:rsidR="00700655" w:rsidRPr="00700655" w:rsidRDefault="00700655">
            <w:r>
              <w:t>August 15*</w:t>
            </w:r>
            <w:r>
              <w:br/>
              <w:t>*</w:t>
            </w:r>
            <w:r w:rsidRPr="00700655">
              <w:rPr>
                <w:sz w:val="16"/>
                <w:szCs w:val="16"/>
              </w:rPr>
              <w:t xml:space="preserve">FER must be complete for the previous fiscal year before Initial </w:t>
            </w:r>
            <w:r>
              <w:rPr>
                <w:sz w:val="16"/>
                <w:szCs w:val="16"/>
              </w:rPr>
              <w:t>A</w:t>
            </w:r>
            <w:r w:rsidRPr="00700655">
              <w:rPr>
                <w:sz w:val="16"/>
                <w:szCs w:val="16"/>
              </w:rPr>
              <w:t>pplication can begin for the next fiscal year</w:t>
            </w:r>
          </w:p>
        </w:tc>
      </w:tr>
    </w:tbl>
    <w:p w14:paraId="1ABDA4ED" w14:textId="77777777" w:rsidR="00277637" w:rsidRDefault="00277637"/>
    <w:p w14:paraId="340D5893" w14:textId="77777777" w:rsidR="00700655" w:rsidRDefault="00700655"/>
    <w:sectPr w:rsidR="0070065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31E02" w14:textId="77777777" w:rsidR="00700655" w:rsidRDefault="00700655" w:rsidP="00700655">
      <w:pPr>
        <w:spacing w:after="0" w:line="240" w:lineRule="auto"/>
      </w:pPr>
      <w:r>
        <w:separator/>
      </w:r>
    </w:p>
  </w:endnote>
  <w:endnote w:type="continuationSeparator" w:id="0">
    <w:p w14:paraId="3B80FA57" w14:textId="77777777" w:rsidR="00700655" w:rsidRDefault="00700655" w:rsidP="00700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761B3" w14:textId="77777777" w:rsidR="00700655" w:rsidRDefault="00700655" w:rsidP="00700655">
      <w:pPr>
        <w:spacing w:after="0" w:line="240" w:lineRule="auto"/>
      </w:pPr>
      <w:r>
        <w:separator/>
      </w:r>
    </w:p>
  </w:footnote>
  <w:footnote w:type="continuationSeparator" w:id="0">
    <w:p w14:paraId="2D9C20A5" w14:textId="77777777" w:rsidR="00700655" w:rsidRDefault="00700655" w:rsidP="007006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44C4C" w14:textId="3A1286F7" w:rsidR="00700655" w:rsidRPr="00700655" w:rsidRDefault="00700655" w:rsidP="00700655">
    <w:pPr>
      <w:pStyle w:val="Title"/>
      <w:rPr>
        <w:color w:val="215E99" w:themeColor="text2" w:themeTint="BF"/>
      </w:rPr>
    </w:pPr>
    <w:r w:rsidRPr="00700655">
      <w:rPr>
        <w:color w:val="215E99" w:themeColor="text2" w:themeTint="BF"/>
      </w:rPr>
      <w:t>Head Start State Grant Timeline for GMS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655"/>
    <w:rsid w:val="00277637"/>
    <w:rsid w:val="004E18E4"/>
    <w:rsid w:val="00700655"/>
    <w:rsid w:val="007C100C"/>
    <w:rsid w:val="00835C2C"/>
    <w:rsid w:val="00872078"/>
    <w:rsid w:val="00B26615"/>
    <w:rsid w:val="00E86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B076C"/>
  <w15:chartTrackingRefBased/>
  <w15:docId w15:val="{87A9379C-0661-4C5B-B31E-4F55CB21C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06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06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06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06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06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06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06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06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06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06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06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06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06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06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06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06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06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0655"/>
    <w:rPr>
      <w:rFonts w:eastAsiaTheme="majorEastAsia" w:cstheme="majorBidi"/>
      <w:color w:val="272727" w:themeColor="text1" w:themeTint="D8"/>
    </w:rPr>
  </w:style>
  <w:style w:type="paragraph" w:styleId="Title">
    <w:name w:val="Title"/>
    <w:basedOn w:val="Normal"/>
    <w:next w:val="Normal"/>
    <w:link w:val="TitleChar"/>
    <w:uiPriority w:val="10"/>
    <w:qFormat/>
    <w:rsid w:val="007006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06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06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06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0655"/>
    <w:pPr>
      <w:spacing w:before="160"/>
      <w:jc w:val="center"/>
    </w:pPr>
    <w:rPr>
      <w:i/>
      <w:iCs/>
      <w:color w:val="404040" w:themeColor="text1" w:themeTint="BF"/>
    </w:rPr>
  </w:style>
  <w:style w:type="character" w:customStyle="1" w:styleId="QuoteChar">
    <w:name w:val="Quote Char"/>
    <w:basedOn w:val="DefaultParagraphFont"/>
    <w:link w:val="Quote"/>
    <w:uiPriority w:val="29"/>
    <w:rsid w:val="00700655"/>
    <w:rPr>
      <w:i/>
      <w:iCs/>
      <w:color w:val="404040" w:themeColor="text1" w:themeTint="BF"/>
    </w:rPr>
  </w:style>
  <w:style w:type="paragraph" w:styleId="ListParagraph">
    <w:name w:val="List Paragraph"/>
    <w:basedOn w:val="Normal"/>
    <w:uiPriority w:val="34"/>
    <w:qFormat/>
    <w:rsid w:val="00700655"/>
    <w:pPr>
      <w:ind w:left="720"/>
      <w:contextualSpacing/>
    </w:pPr>
  </w:style>
  <w:style w:type="character" w:styleId="IntenseEmphasis">
    <w:name w:val="Intense Emphasis"/>
    <w:basedOn w:val="DefaultParagraphFont"/>
    <w:uiPriority w:val="21"/>
    <w:qFormat/>
    <w:rsid w:val="00700655"/>
    <w:rPr>
      <w:i/>
      <w:iCs/>
      <w:color w:val="0F4761" w:themeColor="accent1" w:themeShade="BF"/>
    </w:rPr>
  </w:style>
  <w:style w:type="paragraph" w:styleId="IntenseQuote">
    <w:name w:val="Intense Quote"/>
    <w:basedOn w:val="Normal"/>
    <w:next w:val="Normal"/>
    <w:link w:val="IntenseQuoteChar"/>
    <w:uiPriority w:val="30"/>
    <w:qFormat/>
    <w:rsid w:val="007006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0655"/>
    <w:rPr>
      <w:i/>
      <w:iCs/>
      <w:color w:val="0F4761" w:themeColor="accent1" w:themeShade="BF"/>
    </w:rPr>
  </w:style>
  <w:style w:type="character" w:styleId="IntenseReference">
    <w:name w:val="Intense Reference"/>
    <w:basedOn w:val="DefaultParagraphFont"/>
    <w:uiPriority w:val="32"/>
    <w:qFormat/>
    <w:rsid w:val="00700655"/>
    <w:rPr>
      <w:b/>
      <w:bCs/>
      <w:smallCaps/>
      <w:color w:val="0F4761" w:themeColor="accent1" w:themeShade="BF"/>
      <w:spacing w:val="5"/>
    </w:rPr>
  </w:style>
  <w:style w:type="paragraph" w:styleId="Header">
    <w:name w:val="header"/>
    <w:basedOn w:val="Normal"/>
    <w:link w:val="HeaderChar"/>
    <w:uiPriority w:val="99"/>
    <w:unhideWhenUsed/>
    <w:rsid w:val="007006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0655"/>
  </w:style>
  <w:style w:type="paragraph" w:styleId="Footer">
    <w:name w:val="footer"/>
    <w:basedOn w:val="Normal"/>
    <w:link w:val="FooterChar"/>
    <w:uiPriority w:val="99"/>
    <w:unhideWhenUsed/>
    <w:rsid w:val="007006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0655"/>
  </w:style>
  <w:style w:type="table" w:styleId="TableGrid">
    <w:name w:val="Table Grid"/>
    <w:basedOn w:val="TableNormal"/>
    <w:uiPriority w:val="39"/>
    <w:rsid w:val="00700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135</Words>
  <Characters>773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State of Alaska</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Ordonez, Supanika (EED)</dc:creator>
  <cp:keywords/>
  <dc:description/>
  <cp:lastModifiedBy>Bennett, Machelle L (EED)</cp:lastModifiedBy>
  <cp:revision>2</cp:revision>
  <dcterms:created xsi:type="dcterms:W3CDTF">2025-07-02T22:57:00Z</dcterms:created>
  <dcterms:modified xsi:type="dcterms:W3CDTF">2025-07-02T22:57:00Z</dcterms:modified>
</cp:coreProperties>
</file>